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Следователю [наименование следственного органа]</w:t>
      </w: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[Должность, звание, Ф. И. О. следователя]</w:t>
      </w:r>
    </w:p>
    <w:p>
      <w:pPr>
        <w:keepNext/>
        <w:keepLines w:val="0"/>
        <w:widowControl/>
        <w:spacing w:before="0" w:after="20" w:line="240" w:lineRule="auto"/>
        <w:jc w:val="right"/>
      </w:pP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От: [Ф. И. О.]</w:t>
      </w: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Процессуальный статус: [подозреваемый, обвиняемый, защитник, потерпевший, представитель или иной статус]</w:t>
      </w: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Адрес: [адрес]</w:t>
      </w: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Телефон: [номер]</w:t>
      </w:r>
    </w:p>
    <w:p>
      <w:pPr>
        <w:keepNext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Электронная почта: [адрес]</w:t>
      </w:r>
    </w:p>
    <w:p>
      <w:pPr>
        <w:keepNext/>
        <w:keepLines w:val="0"/>
        <w:widowControl/>
        <w:spacing w:before="0" w:after="20" w:line="240" w:lineRule="auto"/>
        <w:jc w:val="right"/>
      </w:pPr>
    </w:p>
    <w:p>
      <w:pPr>
        <w:keepNext w:val="0"/>
        <w:keepLines w:val="0"/>
        <w:widowControl/>
        <w:spacing w:before="0" w:after="20" w:line="240" w:lineRule="auto"/>
        <w:jc w:val="right"/>
      </w:pPr>
      <w:r>
        <w:rPr>
          <w:rFonts w:ascii="Times New Roman" w:hAnsi="Times New Roman" w:eastAsia="Times New Roman"/>
          <w:b w:val="0"/>
          <w:i w:val="0"/>
          <w:color w:val="000000"/>
          <w:sz w:val="22"/>
        </w:rPr>
        <w:t>Уголовное дело или материал проверки № [номер]</w:t>
      </w:r>
    </w:p>
    <w:p>
      <w:pPr>
        <w:keepNext w:val="0"/>
        <w:keepLines w:val="0"/>
        <w:widowControl/>
        <w:spacing w:before="0" w:after="100" w:line="276" w:lineRule="auto"/>
      </w:pPr>
    </w:p>
    <w:p>
      <w:pPr>
        <w:keepNext/>
        <w:keepLines w:val="0"/>
        <w:widowControl/>
        <w:spacing w:before="60" w:after="2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8"/>
        </w:rPr>
        <w:t>ХОДАТАЙСТВО</w:t>
      </w:r>
    </w:p>
    <w:p>
      <w:pPr>
        <w:keepNext/>
        <w:keepLines w:val="0"/>
        <w:widowControl/>
        <w:spacing w:before="0" w:after="240" w:line="240" w:lineRule="auto"/>
        <w:jc w:val="center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о назначении судебно-медицинской экспертизы</w:t>
      </w:r>
    </w:p>
    <w:p>
      <w:pPr>
        <w:keepNext w:val="0"/>
        <w:keepLines w:val="0"/>
        <w:widowControl/>
        <w:spacing w:before="0" w:after="1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производстве [наименование следственного органа, Ф. И. О. следователя] находится уголовное дело или материал проверки № [номер] по факту [кратко указать обстоятельства].</w:t>
      </w:r>
    </w:p>
    <w:p>
      <w:pPr>
        <w:keepNext/>
        <w:keepLines w:val="0"/>
        <w:widowControl/>
        <w:spacing w:before="0" w:after="10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Для установления обстоятельств, имеющих значение для дела, необходимо разрешить вопросы, требующие специальных медицинских знаний:</w:t>
      </w:r>
    </w:p>
    <w:p>
      <w:pPr>
        <w:keepNext w:val="0"/>
        <w:keepLines/>
        <w:widowControl/>
        <w:spacing w:before="0" w:after="160" w:line="276" w:lineRule="auto"/>
      </w:pPr>
      <w:r>
        <w:rPr>
          <w:rFonts w:ascii="Times New Roman" w:hAnsi="Times New Roman" w:eastAsia="Times New Roman"/>
          <w:b w:val="0"/>
          <w:i/>
          <w:color w:val="5C5C5C"/>
          <w:sz w:val="24"/>
        </w:rPr>
        <w:t>[Указать обстоятельства, которые необходимо установить посредством судебно-медицинской экспертизы.]</w:t>
      </w:r>
    </w:p>
    <w:p>
      <w:pPr>
        <w:keepNext w:val="0"/>
        <w:keepLines w:val="0"/>
        <w:widowControl/>
        <w:spacing w:before="0" w:after="1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 соответствии со статьями 119 и 120 Уголовно-процессуального кодекса Российской Федерации участники уголовного судопроизводства вправе заявлять ходатайства о производстве процессуальных действий и принятии решений, необходимых для установления обстоятельств, имеющих значение для уголовного дела.</w:t>
      </w:r>
    </w:p>
    <w:p>
      <w:pPr>
        <w:keepNext w:val="0"/>
        <w:keepLines w:val="0"/>
        <w:widowControl/>
        <w:spacing w:before="0" w:after="1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Статьями 195 и 198 Уголовно-процессуального кодекса Российской Федерации предусмотрены назначение судебной экспертизы постановлением следователя и право ходатайствовать о её производстве в конкретном экспертном учреждении, а также предлагать дополнительные вопросы экспертам.</w:t>
      </w:r>
    </w:p>
    <w:p>
      <w:pPr>
        <w:keepNext w:val="0"/>
        <w:keepLines w:val="0"/>
        <w:widowControl/>
        <w:spacing w:before="0" w:after="10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Проведение экспертизы предлагается поручить АНО «Приволжское бюро судебных экспертиз»:</w:t>
      </w:r>
    </w:p>
    <w:p>
      <w:pPr>
        <w:keepNext/>
        <w:keepLines w:val="0"/>
        <w:widowControl/>
        <w:spacing w:before="0" w:after="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Адрес: г. Ульяновск, ул. Промышленная, д. 2А, офис 309.</w:t>
      </w:r>
    </w:p>
    <w:p>
      <w:pPr>
        <w:keepNext/>
        <w:keepLines w:val="0"/>
        <w:widowControl/>
        <w:spacing w:before="0" w:after="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Электронная почта: e921901@yandex.ru.</w:t>
      </w:r>
    </w:p>
    <w:p>
      <w:pPr>
        <w:keepNext w:val="0"/>
        <w:keepLines w:val="0"/>
        <w:widowControl/>
        <w:spacing w:before="0" w:after="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Регистрационный номер медицинской лицензии: Л041-01188-73/00612521.</w:t>
      </w:r>
    </w:p>
    <w:p>
      <w:pPr>
        <w:keepNext w:val="0"/>
        <w:keepLines w:val="0"/>
        <w:widowControl/>
        <w:spacing w:before="80" w:after="14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Выбор указанной организации обусловлен наличием действующей медицинской лицензии, судебно-медицинских экспертов необходимой квалификации и официального ответа о возможности проведения экспертизы, её стоимости и предполагаемом сроке.</w:t>
      </w:r>
    </w:p>
    <w:p>
      <w:pPr>
        <w:keepNext w:val="0"/>
        <w:keepLines w:val="0"/>
        <w:widowControl/>
        <w:spacing w:before="0" w:after="16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На основании изложенного и руководствуясь статьями 119, 120, 195 и 198 Уголовно-процессуального кодекса Российской Федерации,</w:t>
      </w:r>
    </w:p>
    <w:p>
      <w:r>
        <w:br w:type="page"/>
      </w:r>
    </w:p>
    <w:p>
      <w:pPr>
        <w:keepNext/>
        <w:keepLines w:val="0"/>
        <w:widowControl/>
        <w:spacing w:before="0" w:after="120" w:line="276" w:lineRule="auto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ПРОШУ:</w:t>
      </w:r>
    </w:p>
    <w:p>
      <w:pPr>
        <w:keepLines w:val="0"/>
        <w:widowControl/>
        <w:spacing w:before="0" w:after="100" w:line="276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color w:val="000000"/>
          <w:sz w:val="24"/>
        </w:rPr>
        <w:t>Назначить по уголовному делу или материалу проверки № [номер] судебно-медицинскую экспертизу.</w:t>
      </w:r>
    </w:p>
    <w:p>
      <w:pPr>
        <w:keepLines w:val="0"/>
        <w:widowControl/>
        <w:spacing w:before="0" w:after="100" w:line="276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color w:val="000000"/>
          <w:sz w:val="24"/>
        </w:rPr>
        <w:t>Поручить проведение экспертизы АНО «Приволжское бюро судебных экспертиз».</w:t>
      </w:r>
    </w:p>
    <w:p>
      <w:pPr>
        <w:keepLines w:val="0"/>
        <w:widowControl/>
        <w:spacing w:before="0" w:after="100" w:line="276" w:lineRule="auto"/>
        <w:numPr>
          <w:ilvl w:val="0"/>
          <w:numId w:val="10"/>
        </w:numPr>
      </w:pPr>
      <w:r>
        <w:rPr>
          <w:rFonts w:ascii="Times New Roman" w:hAnsi="Times New Roman" w:eastAsia="Times New Roman"/>
          <w:color w:val="000000"/>
          <w:sz w:val="24"/>
        </w:rPr>
        <w:t>Поставить перед экспертами следующие вопросы:</w:t>
      </w:r>
    </w:p>
    <w:p>
      <w:pPr>
        <w:keepLines w:val="0"/>
        <w:widowControl/>
        <w:spacing w:before="0" w:after="60" w:line="276" w:lineRule="auto"/>
        <w:numPr>
          <w:ilvl w:val="0"/>
          <w:numId w:val="11"/>
        </w:numPr>
      </w:pPr>
      <w:r>
        <w:rPr>
          <w:rFonts w:ascii="Times New Roman" w:hAnsi="Times New Roman" w:eastAsia="Times New Roman"/>
          <w:color w:val="000000"/>
          <w:sz w:val="24"/>
        </w:rPr>
        <w:t>[Вопрос.]</w:t>
      </w:r>
    </w:p>
    <w:p>
      <w:pPr>
        <w:keepLines w:val="0"/>
        <w:widowControl/>
        <w:spacing w:before="0" w:after="60" w:line="276" w:lineRule="auto"/>
        <w:numPr>
          <w:ilvl w:val="0"/>
          <w:numId w:val="11"/>
        </w:numPr>
      </w:pPr>
      <w:r>
        <w:rPr>
          <w:rFonts w:ascii="Times New Roman" w:hAnsi="Times New Roman" w:eastAsia="Times New Roman"/>
          <w:color w:val="000000"/>
          <w:sz w:val="24"/>
        </w:rPr>
        <w:t>[Вопрос.]</w:t>
      </w:r>
    </w:p>
    <w:p>
      <w:pPr>
        <w:keepLines w:val="0"/>
        <w:widowControl/>
        <w:spacing w:before="0" w:after="60" w:line="276" w:lineRule="auto"/>
        <w:numPr>
          <w:ilvl w:val="0"/>
          <w:numId w:val="11"/>
        </w:numPr>
      </w:pPr>
      <w:r>
        <w:rPr>
          <w:rFonts w:ascii="Times New Roman" w:hAnsi="Times New Roman" w:eastAsia="Times New Roman"/>
          <w:color w:val="000000"/>
          <w:sz w:val="24"/>
        </w:rPr>
        <w:t>[Вопрос.]</w:t>
      </w:r>
    </w:p>
    <w:p>
      <w:pPr>
        <w:keepLines w:val="0"/>
        <w:widowControl/>
        <w:spacing w:before="0" w:after="100" w:line="276" w:lineRule="auto"/>
        <w:numPr>
          <w:ilvl w:val="0"/>
          <w:numId w:val="12"/>
        </w:numPr>
      </w:pPr>
      <w:r>
        <w:rPr>
          <w:rFonts w:ascii="Times New Roman" w:hAnsi="Times New Roman" w:eastAsia="Times New Roman"/>
          <w:color w:val="000000"/>
          <w:sz w:val="24"/>
        </w:rPr>
        <w:t>Сообщить заявителю о принятом по настоящему ходатайству решении.</w:t>
      </w:r>
    </w:p>
    <w:p>
      <w:pPr>
        <w:keepNext/>
        <w:keepLines w:val="0"/>
        <w:widowControl/>
        <w:spacing w:before="0" w:after="100" w:line="276" w:lineRule="auto"/>
      </w:pPr>
      <w:r>
        <w:rPr>
          <w:rFonts w:ascii="Times New Roman" w:hAnsi="Times New Roman" w:eastAsia="Times New Roman"/>
          <w:b/>
          <w:i w:val="0"/>
          <w:color w:val="000000"/>
          <w:sz w:val="24"/>
        </w:rPr>
        <w:t>Приложения:</w:t>
      </w:r>
    </w:p>
    <w:p>
      <w:pPr>
        <w:keepLines w:val="0"/>
        <w:widowControl/>
        <w:spacing w:before="0" w:after="60" w:line="276" w:lineRule="auto"/>
        <w:numPr>
          <w:ilvl w:val="0"/>
          <w:numId w:val="13"/>
        </w:numPr>
      </w:pPr>
      <w:r>
        <w:rPr>
          <w:rFonts w:ascii="Times New Roman" w:hAnsi="Times New Roman" w:eastAsia="Times New Roman"/>
          <w:color w:val="000000"/>
          <w:sz w:val="24"/>
        </w:rPr>
        <w:t>Ответ АНО «Приволжское бюро судебных экспертиз» о возможности проведения экспертизы.</w:t>
      </w:r>
    </w:p>
    <w:p>
      <w:pPr>
        <w:keepLines w:val="0"/>
        <w:widowControl/>
        <w:spacing w:before="0" w:after="60" w:line="276" w:lineRule="auto"/>
        <w:numPr>
          <w:ilvl w:val="0"/>
          <w:numId w:val="13"/>
        </w:numPr>
      </w:pPr>
      <w:r>
        <w:rPr>
          <w:rFonts w:ascii="Times New Roman" w:hAnsi="Times New Roman" w:eastAsia="Times New Roman"/>
          <w:color w:val="000000"/>
          <w:sz w:val="24"/>
        </w:rPr>
        <w:t>Выписка из реестра лицензий.</w:t>
      </w:r>
    </w:p>
    <w:p>
      <w:pPr>
        <w:keepLines w:val="0"/>
        <w:widowControl/>
        <w:spacing w:before="0" w:after="60" w:line="276" w:lineRule="auto"/>
        <w:numPr>
          <w:ilvl w:val="0"/>
          <w:numId w:val="13"/>
        </w:numPr>
      </w:pPr>
      <w:r>
        <w:rPr>
          <w:rFonts w:ascii="Times New Roman" w:hAnsi="Times New Roman" w:eastAsia="Times New Roman"/>
          <w:color w:val="000000"/>
          <w:sz w:val="24"/>
        </w:rPr>
        <w:t>Иные документы: [указать].</w:t>
      </w:r>
    </w:p>
    <w:p>
      <w:pPr>
        <w:keepNext w:val="0"/>
        <w:keepLines/>
        <w:widowControl/>
        <w:spacing w:before="160" w:after="20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Дата: «***» __________ 20*** г.</w:t>
      </w:r>
    </w:p>
    <w:p>
      <w:pPr>
        <w:keepNext w:val="0"/>
        <w:keepLines/>
        <w:widowControl/>
        <w:spacing w:before="0" w:after="0" w:line="276" w:lineRule="auto"/>
      </w:pPr>
      <w:r>
        <w:rPr>
          <w:rFonts w:ascii="Times New Roman" w:hAnsi="Times New Roman" w:eastAsia="Times New Roman"/>
          <w:b w:val="0"/>
          <w:i w:val="0"/>
          <w:color w:val="000000"/>
          <w:sz w:val="24"/>
        </w:rPr>
        <w:t>________________ / [Ф. И. О.]</w:t>
      </w:r>
    </w:p>
    <w:sectPr w:rsidR="00FC693F" w:rsidRPr="0006063C" w:rsidSect="00034616">
      <w:pgSz w:w="11906" w:h="16838"/>
      <w:pgMar w:top="1134" w:right="850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eastAsia="Times New Roman"/>
      </w:rPr>
    </w:lvl>
  </w:abstractNum>
  <w:num w:numId="11">
    <w:abstractNumId w:val="10"/>
  </w:num>
  <w:abstractNum w:abstractNumId="11">
    <w:multiLevelType w:val="singleLevel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/>
      </w:rPr>
    </w:lvl>
  </w:abstractNum>
  <w:num w:numId="12">
    <w:abstractNumId w:val="11"/>
  </w:num>
  <w:abstractNum w:abstractNumId="12">
    <w:multiLevelType w:val="single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/>
      </w:rPr>
    </w:lvl>
  </w:abstract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80" w:line="276" w:lineRule="auto"/>
    </w:pPr>
    <w:rPr>
      <w:rFonts w:ascii="Times New Roman" w:hAnsi="Times New Roman" w:eastAsia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40" w:after="12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20" w:after="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60" w:after="6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следователю о назначении судебно-медицинской экспертизы</dc:title>
  <dc:subject>Образец документа для назначения судебно-медицинской экспертизы</dc:subject>
  <dc:creator>АНО «Приволжское бюро судебных экспертиз»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